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9C" w:rsidRDefault="00903B9C" w:rsidP="00903B9C">
      <w:pPr>
        <w:jc w:val="center"/>
        <w:rPr>
          <w:b/>
          <w:sz w:val="28"/>
          <w:szCs w:val="28"/>
        </w:rPr>
      </w:pPr>
      <w:r w:rsidRPr="00903B9C">
        <w:rPr>
          <w:b/>
          <w:sz w:val="28"/>
          <w:szCs w:val="28"/>
        </w:rPr>
        <w:t xml:space="preserve">Availability of Data on Indicators relating to SDG 4 on Education </w:t>
      </w:r>
    </w:p>
    <w:p w:rsidR="00903B9C" w:rsidRPr="00903B9C" w:rsidRDefault="00903B9C" w:rsidP="00903B9C">
      <w:pPr>
        <w:jc w:val="center"/>
        <w:rPr>
          <w:b/>
          <w:sz w:val="28"/>
          <w:szCs w:val="28"/>
        </w:rPr>
      </w:pPr>
      <w:r w:rsidRPr="00903B9C">
        <w:rPr>
          <w:b/>
          <w:sz w:val="28"/>
          <w:szCs w:val="28"/>
        </w:rPr>
        <w:t>from DISE and Other Sources</w:t>
      </w:r>
      <w:r>
        <w:rPr>
          <w:rStyle w:val="FootnoteReference"/>
          <w:b/>
          <w:sz w:val="28"/>
          <w:szCs w:val="28"/>
        </w:rPr>
        <w:footnoteReference w:id="2"/>
      </w:r>
      <w:r w:rsidRPr="00903B9C">
        <w:rPr>
          <w:b/>
          <w:sz w:val="28"/>
          <w:szCs w:val="28"/>
        </w:rPr>
        <w:t>.</w:t>
      </w:r>
    </w:p>
    <w:p w:rsidR="00903B9C" w:rsidRDefault="00903B9C"/>
    <w:p w:rsidR="00D37425" w:rsidRDefault="00DC1671" w:rsidP="00D37425">
      <w:pPr>
        <w:jc w:val="both"/>
      </w:pPr>
      <w:r>
        <w:t xml:space="preserve">SDG 4 which is on education has 10 targets. </w:t>
      </w:r>
      <w:r w:rsidR="003656CE">
        <w:t>The Technical Advisory Group</w:t>
      </w:r>
      <w:r>
        <w:t xml:space="preserve"> (TAG)</w:t>
      </w:r>
      <w:r w:rsidR="003656CE">
        <w:t xml:space="preserve"> has proposed a set </w:t>
      </w:r>
      <w:r>
        <w:t xml:space="preserve">of </w:t>
      </w:r>
      <w:r w:rsidR="003656CE">
        <w:t>43 indicators for monitoring SDG on education</w:t>
      </w:r>
      <w:r>
        <w:t xml:space="preserve">. </w:t>
      </w:r>
      <w:r w:rsidR="003656CE">
        <w:t xml:space="preserve">The 43 indicators cover all the 10 targets. </w:t>
      </w:r>
      <w:r w:rsidR="00647FFE">
        <w:t xml:space="preserve">The targets </w:t>
      </w:r>
      <w:r>
        <w:t xml:space="preserve">4.1 </w:t>
      </w:r>
      <w:r w:rsidR="00F21A58">
        <w:t xml:space="preserve">on free, equitable and quality primary and secondary education  </w:t>
      </w:r>
      <w:r>
        <w:t xml:space="preserve">and </w:t>
      </w:r>
      <w:r w:rsidR="00F21A58">
        <w:t xml:space="preserve">leading to relevant learning outcomes and </w:t>
      </w:r>
      <w:r>
        <w:t>targets on means of implementation 4.8</w:t>
      </w:r>
      <w:r w:rsidR="00F21A58">
        <w:t xml:space="preserve"> on education facilities that child friendly</w:t>
      </w:r>
      <w:r>
        <w:t xml:space="preserve"> and 4.</w:t>
      </w:r>
      <w:r w:rsidR="00677ACB">
        <w:t>1</w:t>
      </w:r>
      <w:r>
        <w:t xml:space="preserve">0 </w:t>
      </w:r>
      <w:r w:rsidR="00F21A58">
        <w:t xml:space="preserve">on availability of qualified teachers are directly related to school education. In addition other targets like </w:t>
      </w:r>
      <w:r w:rsidR="00A32C91">
        <w:t xml:space="preserve">4.2 on ECCE, 4.3 on vocational education, 4.7 on knowledge and skills need for sustainable development </w:t>
      </w:r>
      <w:r w:rsidR="00497A85">
        <w:t xml:space="preserve">have components of school education. </w:t>
      </w:r>
      <w:r w:rsidR="002C703F">
        <w:t xml:space="preserve">In addition target 4.5 on equity by gender and by other categories that include social, economic, disability, etc cuts across all other targets including school education. </w:t>
      </w:r>
      <w:r w:rsidR="00985F07">
        <w:t xml:space="preserve">Though target 4.7 on knowledge and skills need for sustainable development to large extent relates to school education no data are available now. </w:t>
      </w:r>
      <w:r w:rsidR="00903B9C">
        <w:t>Data e</w:t>
      </w:r>
      <w:r w:rsidR="00985F07">
        <w:t xml:space="preserve">ven </w:t>
      </w:r>
      <w:r w:rsidR="00903B9C">
        <w:t xml:space="preserve">on </w:t>
      </w:r>
      <w:r w:rsidR="00985F07">
        <w:t>the indicator</w:t>
      </w:r>
      <w:r w:rsidR="00903B9C">
        <w:t xml:space="preserve"> (25)</w:t>
      </w:r>
      <w:r w:rsidR="00985F07">
        <w:t xml:space="preserve"> on mainstream</w:t>
      </w:r>
      <w:r w:rsidR="00903B9C">
        <w:t>ing</w:t>
      </w:r>
      <w:r w:rsidR="00985F07">
        <w:t xml:space="preserve"> of concepts relating to sustainable development in national policies and school curricula need </w:t>
      </w:r>
      <w:r w:rsidR="00903B9C">
        <w:t>be generated.</w:t>
      </w:r>
      <w:r w:rsidR="00E51DBF">
        <w:t xml:space="preserve"> Therefore indicators relating to target 4.7 does figure in tables. </w:t>
      </w:r>
      <w:r w:rsidR="00985F07">
        <w:t xml:space="preserve">This note is a preliminary attempt to map availability of data on indicators relating to school education. </w:t>
      </w:r>
    </w:p>
    <w:p w:rsidR="00D37425" w:rsidRDefault="00D37425" w:rsidP="00D37425">
      <w:pPr>
        <w:jc w:val="both"/>
      </w:pPr>
    </w:p>
    <w:p w:rsidR="00BF5F05" w:rsidRDefault="003656CE" w:rsidP="00D37425">
      <w:pPr>
        <w:jc w:val="both"/>
      </w:pPr>
      <w:r>
        <w:t>The Table gives availability of data from U-DISE</w:t>
      </w:r>
      <w:r w:rsidR="00227B94">
        <w:t xml:space="preserve"> by indicators</w:t>
      </w:r>
    </w:p>
    <w:p w:rsidR="00BF5F05" w:rsidRDefault="00BF5F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4199"/>
        <w:gridCol w:w="4201"/>
      </w:tblGrid>
      <w:tr w:rsidR="00BF5F05" w:rsidRPr="00D37425" w:rsidTr="00BF5F05">
        <w:trPr>
          <w:trHeight w:val="890"/>
        </w:trPr>
        <w:tc>
          <w:tcPr>
            <w:tcW w:w="565" w:type="pct"/>
          </w:tcPr>
          <w:p w:rsidR="00BF5F05" w:rsidRPr="00D37425" w:rsidRDefault="00BF5F05" w:rsidP="00D374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37425">
              <w:rPr>
                <w:rFonts w:ascii="Times New Roman" w:hAnsi="Times New Roman" w:cs="Times New Roman"/>
                <w:b/>
              </w:rPr>
              <w:t>Indicator Number</w:t>
            </w:r>
          </w:p>
        </w:tc>
        <w:tc>
          <w:tcPr>
            <w:tcW w:w="2217" w:type="pct"/>
          </w:tcPr>
          <w:p w:rsidR="00BF5F05" w:rsidRPr="00D37425" w:rsidRDefault="00BF5F05" w:rsidP="00D374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37425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2218" w:type="pct"/>
          </w:tcPr>
          <w:p w:rsidR="00BF5F05" w:rsidRPr="00D37425" w:rsidRDefault="00BF5F05" w:rsidP="00D374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37425">
              <w:rPr>
                <w:rFonts w:ascii="Times New Roman" w:hAnsi="Times New Roman" w:cs="Times New Roman"/>
                <w:b/>
              </w:rPr>
              <w:t>Availability in DISE or otherwise</w:t>
            </w:r>
          </w:p>
        </w:tc>
      </w:tr>
      <w:tr w:rsidR="00BF5F05" w:rsidRPr="00827925" w:rsidTr="00BF5F05">
        <w:trPr>
          <w:trHeight w:val="411"/>
        </w:trPr>
        <w:tc>
          <w:tcPr>
            <w:tcW w:w="565" w:type="pct"/>
          </w:tcPr>
          <w:p w:rsidR="00BF5F05" w:rsidRPr="00827925" w:rsidRDefault="00BF5F05" w:rsidP="005913F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 xml:space="preserve">3. </w:t>
            </w:r>
          </w:p>
          <w:p w:rsidR="00BF5F05" w:rsidRPr="00827925" w:rsidRDefault="00BF5F05" w:rsidP="005913F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Pr="00827925" w:rsidRDefault="00BF5F05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>Gross intake ratio to the last grade (primary, lower secondary)</w:t>
            </w:r>
          </w:p>
        </w:tc>
        <w:tc>
          <w:tcPr>
            <w:tcW w:w="2218" w:type="pct"/>
          </w:tcPr>
          <w:p w:rsidR="00BF5F05" w:rsidRPr="00E66507" w:rsidRDefault="00BF5F05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07">
              <w:rPr>
                <w:rFonts w:ascii="Times New Roman" w:hAnsi="Times New Roman" w:cs="Times New Roman"/>
              </w:rPr>
              <w:t>Yes. U-DISE data can be used to calculate GIR by grade</w:t>
            </w:r>
          </w:p>
        </w:tc>
      </w:tr>
      <w:tr w:rsidR="00BF5F05" w:rsidRPr="00827925" w:rsidTr="00BF5F05">
        <w:trPr>
          <w:trHeight w:val="802"/>
        </w:trPr>
        <w:tc>
          <w:tcPr>
            <w:tcW w:w="565" w:type="pct"/>
          </w:tcPr>
          <w:p w:rsidR="00BF5F05" w:rsidRPr="00827925" w:rsidRDefault="00BF5F05" w:rsidP="005913F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 xml:space="preserve">5. </w:t>
            </w:r>
          </w:p>
          <w:p w:rsidR="00BF5F05" w:rsidRPr="00827925" w:rsidRDefault="00BF5F05" w:rsidP="005913F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Pr="00827925" w:rsidRDefault="00BF5F05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>Out-of-school rate (primary, lower secondary, upper secondary)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be estimated using U-DISE and projected child population. It can also be estimated using NSSO data.   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Pr="00827925" w:rsidRDefault="00BF5F05" w:rsidP="005913F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 xml:space="preserve">6. </w:t>
            </w:r>
          </w:p>
          <w:p w:rsidR="00BF5F05" w:rsidRPr="00827925" w:rsidRDefault="00BF5F05" w:rsidP="005913F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Pr="00827925" w:rsidRDefault="00BF5F05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>Percentage of children over-age for grade (primary, lower secondary)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U-DISE provides data. 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Parity indices(female/male, rural/urban, bottom/top wealth quintile and others such as disability status and conflict-affected as data become available) for all indicators on this list that can be disaggregated (identified in Columns 4-7)</w:t>
            </w:r>
          </w:p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possible, other indicators should </w:t>
            </w:r>
            <w:r>
              <w:rPr>
                <w:rFonts w:ascii="Times New Roman" w:hAnsi="Times New Roman" w:cs="Times New Roman"/>
              </w:rPr>
              <w:lastRenderedPageBreak/>
              <w:t>be presented in relation to their distribution across the population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U-DISE data can be used to calculate parity indicators for gender, social and religion, disability with respect to some indicators of completion and, participation (indicators 3, 5, 6)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students in primary education whose first or home language is the language of instruction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AISES provides data-DISE provides data that comes closer to this indicator. This item in DISE need fine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tuning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Percentage of schools with access to (i)basic drinking water; (ii)basic sanitation facilities; and (iii) basic hand-washing facilities 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from U-DISE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schools with access to (i)electricity;(ii) Internet access for pedagogical purposes;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(iii) computers for pedagogical purposes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are available from U-DISE –needs fine tuning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schools with adapted infrastructure and materials for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students with disabilities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are available from U-DISE–needs fine tuning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teachers qualified according to national standards by education level and type of institution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are available from U-DISE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Pupil/qualified teacher ratio by education level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are available from U-DISE 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teachers in (i) pre-primary;(ii)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primary;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(ii) lower secondary; and (iv)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upper secondary who have received at least the minimum organized and recognized teacher (i.e. pedagogical) training pre-service and in-service required for teaching at the relevant level in a given country, by type of institution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are available from U-DISE for primary, lower and higher secondary stage of education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Pupil/trained teacher ratio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 education level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are available from U-DISE</w:t>
            </w:r>
          </w:p>
        </w:tc>
      </w:tr>
      <w:tr w:rsidR="00BF5F05" w:rsidRPr="00827925" w:rsidTr="00BF5F05">
        <w:trPr>
          <w:trHeight w:val="616"/>
        </w:trPr>
        <w:tc>
          <w:tcPr>
            <w:tcW w:w="565" w:type="pct"/>
          </w:tcPr>
          <w:p w:rsidR="00BF5F05" w:rsidRDefault="00BF5F05" w:rsidP="005913F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 </w:t>
            </w:r>
          </w:p>
          <w:p w:rsidR="00BF5F05" w:rsidRDefault="00BF5F05" w:rsidP="005913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teachers who received in-service training in the last 12 months by type of training</w:t>
            </w:r>
          </w:p>
        </w:tc>
        <w:tc>
          <w:tcPr>
            <w:tcW w:w="2218" w:type="pct"/>
          </w:tcPr>
          <w:p w:rsidR="00BF5F05" w:rsidRDefault="00BF5F05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are available from U-DISE </w:t>
            </w:r>
          </w:p>
        </w:tc>
      </w:tr>
    </w:tbl>
    <w:p w:rsidR="002C703F" w:rsidRDefault="002C703F"/>
    <w:p w:rsidR="00497A85" w:rsidRDefault="00497A85"/>
    <w:p w:rsidR="00903B9C" w:rsidRDefault="00903B9C"/>
    <w:p w:rsidR="00903B9C" w:rsidRDefault="00903B9C"/>
    <w:p w:rsidR="00903B9C" w:rsidRDefault="00903B9C"/>
    <w:p w:rsidR="00903B9C" w:rsidRDefault="00903B9C"/>
    <w:p w:rsidR="00903B9C" w:rsidRDefault="00903B9C"/>
    <w:p w:rsidR="00497A85" w:rsidRDefault="00BF5F05">
      <w:r>
        <w:t>The following Table gives indicators on school education for which other sources of data need to be consulted</w:t>
      </w:r>
    </w:p>
    <w:p w:rsidR="00BF5F05" w:rsidRDefault="00BF5F05"/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4383"/>
        <w:gridCol w:w="3599"/>
      </w:tblGrid>
      <w:tr w:rsidR="00CA1702" w:rsidRPr="00996CEC" w:rsidTr="005913F5">
        <w:trPr>
          <w:trHeight w:val="1115"/>
        </w:trPr>
        <w:tc>
          <w:tcPr>
            <w:tcW w:w="597" w:type="pct"/>
          </w:tcPr>
          <w:p w:rsidR="00CA1702" w:rsidRPr="00827925" w:rsidRDefault="00CA1702" w:rsidP="00D3742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 Number</w:t>
            </w:r>
          </w:p>
        </w:tc>
        <w:tc>
          <w:tcPr>
            <w:tcW w:w="2418" w:type="pct"/>
          </w:tcPr>
          <w:p w:rsidR="00CA1702" w:rsidRPr="00827925" w:rsidRDefault="00CA1702" w:rsidP="00D3742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</w:t>
            </w:r>
          </w:p>
        </w:tc>
        <w:tc>
          <w:tcPr>
            <w:tcW w:w="1985" w:type="pct"/>
          </w:tcPr>
          <w:p w:rsidR="00CA1702" w:rsidRPr="00E66507" w:rsidRDefault="00CA1702" w:rsidP="00D3742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available in DISE. Alternatives indicated</w:t>
            </w:r>
          </w:p>
        </w:tc>
      </w:tr>
      <w:tr w:rsidR="00CA1702" w:rsidRPr="00996CEC" w:rsidTr="005913F5">
        <w:trPr>
          <w:trHeight w:val="1115"/>
        </w:trPr>
        <w:tc>
          <w:tcPr>
            <w:tcW w:w="597" w:type="pct"/>
          </w:tcPr>
          <w:p w:rsidR="00CA1702" w:rsidRPr="00827925" w:rsidRDefault="00CA1702" w:rsidP="00D374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 xml:space="preserve">1. </w:t>
            </w:r>
          </w:p>
          <w:p w:rsidR="00CA1702" w:rsidRPr="00827925" w:rsidRDefault="00CA1702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Pr="00827925" w:rsidRDefault="00CA1702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>Percentage of children/young people (i) at the end of primary and (ii)at end of lower secondary achieving at least a minimum proficiency level in (a) reading and (b)mathematics</w:t>
            </w:r>
          </w:p>
        </w:tc>
        <w:tc>
          <w:tcPr>
            <w:tcW w:w="1985" w:type="pct"/>
          </w:tcPr>
          <w:p w:rsidR="00CA1702" w:rsidRPr="00996CEC" w:rsidRDefault="00CA1702" w:rsidP="00D37425">
            <w:pPr>
              <w:pStyle w:val="Default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  <w:r>
              <w:rPr>
                <w:rFonts w:ascii="Times New Roman" w:hAnsi="Times New Roman" w:cs="Times New Roman"/>
              </w:rPr>
              <w:t xml:space="preserve">vailable under NAS (for those enrolled in schools). Limited data are available from ASER, IHDS for both enrolled and not enrolled at primary levels of education. 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Pr="00827925" w:rsidRDefault="00CA1702" w:rsidP="00D37425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 xml:space="preserve">2. </w:t>
            </w:r>
          </w:p>
          <w:p w:rsidR="00CA1702" w:rsidRPr="00827925" w:rsidRDefault="00CA1702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Pr="00827925" w:rsidRDefault="00CA1702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925">
              <w:rPr>
                <w:rFonts w:ascii="Times New Roman" w:hAnsi="Times New Roman" w:cs="Times New Roman"/>
              </w:rPr>
              <w:t>Administration of a nationally representative learning assessment (i)during primary (ii) at the end of primary and (iii) at the end of lower secondary education</w:t>
            </w:r>
          </w:p>
        </w:tc>
        <w:tc>
          <w:tcPr>
            <w:tcW w:w="1985" w:type="pct"/>
          </w:tcPr>
          <w:p w:rsidR="00CA1702" w:rsidRPr="00996CEC" w:rsidRDefault="00CA1702" w:rsidP="00D374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Yes. NAS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Default="00CA1702" w:rsidP="00D37425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8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rate (primary, lower secondary, upper secondary)</w:t>
            </w:r>
          </w:p>
        </w:tc>
        <w:tc>
          <w:tcPr>
            <w:tcW w:w="1985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obtained from Census and NSSO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Default="00CA1702" w:rsidP="00D37425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years of (i) free and (ii)compulsory primary and secondary education guaranteed in legal frameworks</w:t>
            </w:r>
          </w:p>
        </w:tc>
        <w:tc>
          <w:tcPr>
            <w:tcW w:w="1985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Yes. Data are available from MHRD records.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Default="00CA1702" w:rsidP="00D37425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Extent to which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explicit formula-based policies reallocate education resources to disadvantaged populations</w:t>
            </w:r>
          </w:p>
        </w:tc>
        <w:tc>
          <w:tcPr>
            <w:tcW w:w="1985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are available on whether formula are used or not from MHRD records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Default="00CA1702" w:rsidP="00D37425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</w:p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expenditure per student by level of education and source of funding</w:t>
            </w:r>
          </w:p>
        </w:tc>
        <w:tc>
          <w:tcPr>
            <w:tcW w:w="1985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be calculated from data available from MHRD, DISE, NSSO, CSO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Default="00CA1702" w:rsidP="00D37425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</w:p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total aid to education allocated to low-income countries</w:t>
            </w:r>
          </w:p>
        </w:tc>
        <w:tc>
          <w:tcPr>
            <w:tcW w:w="1985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need to be made public from by Ministry of Finance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Default="00CA1702" w:rsidP="00D37425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</w:p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students experiencing bullying,</w:t>
            </w:r>
            <w:r w:rsidR="00D37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corporal punishment, harassment, violence, sexual discrimination and abuse</w:t>
            </w:r>
          </w:p>
        </w:tc>
        <w:tc>
          <w:tcPr>
            <w:tcW w:w="1985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are available in IHDS and may be available in NFHS</w:t>
            </w:r>
          </w:p>
        </w:tc>
      </w:tr>
      <w:tr w:rsidR="00CA1702" w:rsidRPr="00996CEC" w:rsidTr="005913F5">
        <w:trPr>
          <w:trHeight w:val="890"/>
        </w:trPr>
        <w:tc>
          <w:tcPr>
            <w:tcW w:w="597" w:type="pct"/>
          </w:tcPr>
          <w:p w:rsidR="00CA1702" w:rsidRDefault="00CA1702" w:rsidP="00D37425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</w:p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attacks on students, personnel and institutions</w:t>
            </w:r>
          </w:p>
        </w:tc>
        <w:tc>
          <w:tcPr>
            <w:tcW w:w="1985" w:type="pct"/>
          </w:tcPr>
          <w:p w:rsidR="00CA1702" w:rsidRDefault="00CA1702" w:rsidP="00D37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available </w:t>
            </w:r>
          </w:p>
        </w:tc>
      </w:tr>
    </w:tbl>
    <w:p w:rsidR="00BF5F05" w:rsidRDefault="00BF5F05"/>
    <w:sectPr w:rsidR="00BF5F05" w:rsidSect="008709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39" w:rsidRPr="00903B9C" w:rsidRDefault="00013A39" w:rsidP="00903B9C">
      <w:pPr>
        <w:pStyle w:val="Default"/>
        <w:rPr>
          <w:rFonts w:ascii="Times New Roman" w:hAnsi="Times New Roman" w:cs="Times New Roman"/>
          <w:color w:val="auto"/>
        </w:rPr>
      </w:pPr>
      <w:r>
        <w:separator/>
      </w:r>
    </w:p>
  </w:endnote>
  <w:endnote w:type="continuationSeparator" w:id="1">
    <w:p w:rsidR="00013A39" w:rsidRPr="00903B9C" w:rsidRDefault="00013A39" w:rsidP="00903B9C">
      <w:pPr>
        <w:pStyle w:val="Default"/>
        <w:rPr>
          <w:rFonts w:ascii="Times New Roman" w:hAnsi="Times New Roman" w:cs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094"/>
      <w:docPartObj>
        <w:docPartGallery w:val="Page Numbers (Bottom of Page)"/>
        <w:docPartUnique/>
      </w:docPartObj>
    </w:sdtPr>
    <w:sdtContent>
      <w:p w:rsidR="00903B9C" w:rsidRDefault="00725805">
        <w:pPr>
          <w:pStyle w:val="Footer"/>
          <w:jc w:val="right"/>
        </w:pPr>
        <w:fldSimple w:instr=" PAGE   \* MERGEFORMAT ">
          <w:r w:rsidR="00D37425">
            <w:rPr>
              <w:noProof/>
            </w:rPr>
            <w:t>1</w:t>
          </w:r>
        </w:fldSimple>
      </w:p>
    </w:sdtContent>
  </w:sdt>
  <w:p w:rsidR="00903B9C" w:rsidRDefault="00903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39" w:rsidRPr="00903B9C" w:rsidRDefault="00013A39" w:rsidP="00903B9C">
      <w:pPr>
        <w:pStyle w:val="Default"/>
        <w:rPr>
          <w:rFonts w:ascii="Times New Roman" w:hAnsi="Times New Roman" w:cs="Times New Roman"/>
          <w:color w:val="auto"/>
        </w:rPr>
      </w:pPr>
      <w:r>
        <w:separator/>
      </w:r>
    </w:p>
  </w:footnote>
  <w:footnote w:type="continuationSeparator" w:id="1">
    <w:p w:rsidR="00013A39" w:rsidRPr="00903B9C" w:rsidRDefault="00013A39" w:rsidP="00903B9C">
      <w:pPr>
        <w:pStyle w:val="Default"/>
        <w:rPr>
          <w:rFonts w:ascii="Times New Roman" w:hAnsi="Times New Roman" w:cs="Times New Roman"/>
          <w:color w:val="auto"/>
        </w:rPr>
      </w:pPr>
      <w:r>
        <w:continuationSeparator/>
      </w:r>
    </w:p>
  </w:footnote>
  <w:footnote w:id="2">
    <w:p w:rsidR="00903B9C" w:rsidRDefault="00903B9C">
      <w:pPr>
        <w:pStyle w:val="FootnoteText"/>
      </w:pPr>
      <w:r>
        <w:rPr>
          <w:rStyle w:val="FootnoteReference"/>
        </w:rPr>
        <w:footnoteRef/>
      </w:r>
      <w:r w:rsidR="00D37425">
        <w:t xml:space="preserve"> Prepared by Anugula N Reddy, Department of EMIS, NIEPA, New Delhi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DB17CE"/>
    <w:multiLevelType w:val="hybridMultilevel"/>
    <w:tmpl w:val="0792AB6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E92FB55"/>
    <w:multiLevelType w:val="hybridMultilevel"/>
    <w:tmpl w:val="CD52515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BD2C3DD5"/>
    <w:multiLevelType w:val="hybridMultilevel"/>
    <w:tmpl w:val="752167A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C4DF982C"/>
    <w:multiLevelType w:val="hybridMultilevel"/>
    <w:tmpl w:val="FDF4C5E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DD8104F7"/>
    <w:multiLevelType w:val="hybridMultilevel"/>
    <w:tmpl w:val="56D91A7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E6D577F8"/>
    <w:multiLevelType w:val="hybridMultilevel"/>
    <w:tmpl w:val="365E5F6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EDE76480"/>
    <w:multiLevelType w:val="hybridMultilevel"/>
    <w:tmpl w:val="1D4443B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F5F710DD"/>
    <w:multiLevelType w:val="hybridMultilevel"/>
    <w:tmpl w:val="A05B856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FCCE3F65"/>
    <w:multiLevelType w:val="hybridMultilevel"/>
    <w:tmpl w:val="D2396D8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3F8D5C"/>
    <w:multiLevelType w:val="hybridMultilevel"/>
    <w:tmpl w:val="196978D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6394FC3"/>
    <w:multiLevelType w:val="hybridMultilevel"/>
    <w:tmpl w:val="4695DC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9AE37A"/>
    <w:multiLevelType w:val="hybridMultilevel"/>
    <w:tmpl w:val="1E1312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23D5591"/>
    <w:multiLevelType w:val="hybridMultilevel"/>
    <w:tmpl w:val="FA16313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13B7911A"/>
    <w:multiLevelType w:val="hybridMultilevel"/>
    <w:tmpl w:val="AA04301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17D6ECF0"/>
    <w:multiLevelType w:val="hybridMultilevel"/>
    <w:tmpl w:val="9616533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1BECACE4"/>
    <w:multiLevelType w:val="hybridMultilevel"/>
    <w:tmpl w:val="E0769C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FEE77F0"/>
    <w:multiLevelType w:val="hybridMultilevel"/>
    <w:tmpl w:val="DC55B24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204115DC"/>
    <w:multiLevelType w:val="hybridMultilevel"/>
    <w:tmpl w:val="DBC11ED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63142789"/>
    <w:multiLevelType w:val="hybridMultilevel"/>
    <w:tmpl w:val="DA647A7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501F1E4"/>
    <w:multiLevelType w:val="hybridMultilevel"/>
    <w:tmpl w:val="0E2CE71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7E647882"/>
    <w:multiLevelType w:val="hybridMultilevel"/>
    <w:tmpl w:val="24F454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MwsTQxMDewMDEwNLVQ0lEKTi0uzszPAykwqgUARYNHLiwAAAA="/>
  </w:docVars>
  <w:rsids>
    <w:rsidRoot w:val="003656CE"/>
    <w:rsid w:val="00013A39"/>
    <w:rsid w:val="00227B94"/>
    <w:rsid w:val="002C703F"/>
    <w:rsid w:val="003656CE"/>
    <w:rsid w:val="00497A85"/>
    <w:rsid w:val="004A50E4"/>
    <w:rsid w:val="00647FFE"/>
    <w:rsid w:val="00677ACB"/>
    <w:rsid w:val="00707944"/>
    <w:rsid w:val="00725805"/>
    <w:rsid w:val="00823511"/>
    <w:rsid w:val="008709C6"/>
    <w:rsid w:val="00903B9C"/>
    <w:rsid w:val="00924AB0"/>
    <w:rsid w:val="00985F07"/>
    <w:rsid w:val="009E6D50"/>
    <w:rsid w:val="00A32C91"/>
    <w:rsid w:val="00A8562B"/>
    <w:rsid w:val="00BF5F05"/>
    <w:rsid w:val="00CA1702"/>
    <w:rsid w:val="00D37425"/>
    <w:rsid w:val="00DC1671"/>
    <w:rsid w:val="00E51DBF"/>
    <w:rsid w:val="00F21A58"/>
    <w:rsid w:val="00F73BAB"/>
    <w:rsid w:val="00F9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F0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03B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B9C"/>
  </w:style>
  <w:style w:type="paragraph" w:styleId="Footer">
    <w:name w:val="footer"/>
    <w:basedOn w:val="Normal"/>
    <w:link w:val="FooterChar"/>
    <w:uiPriority w:val="99"/>
    <w:unhideWhenUsed/>
    <w:rsid w:val="00903B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9C"/>
  </w:style>
  <w:style w:type="paragraph" w:styleId="FootnoteText">
    <w:name w:val="footnote text"/>
    <w:basedOn w:val="Normal"/>
    <w:link w:val="FootnoteTextChar"/>
    <w:uiPriority w:val="99"/>
    <w:semiHidden/>
    <w:unhideWhenUsed/>
    <w:rsid w:val="00903B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B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3618-7F9A-4530-8904-C904FC6F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ANreddy</dc:creator>
  <cp:lastModifiedBy>Prof. Arun C Mehta</cp:lastModifiedBy>
  <cp:revision>3</cp:revision>
  <dcterms:created xsi:type="dcterms:W3CDTF">2021-05-30T11:57:00Z</dcterms:created>
  <dcterms:modified xsi:type="dcterms:W3CDTF">2021-06-24T04:49:00Z</dcterms:modified>
</cp:coreProperties>
</file>